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Оглавление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Аннотация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Назначение ПО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Программно-аппаратные среды функционирования ПО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Общие принципы функционирования ПО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Реализация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Интеграция с сетевым трафиком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Интеграция с почтовой системой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Типовые схемы подключения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Режим анализа копии трафика и файлов из трафика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Режим анализа копии трафика и файлов из трафика в GRE туннеле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Режим анализа почты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Получение писем по SMTP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Получение писем с помощью механизма скрытой копии (BCC)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Получение писем по SMTP с блокировкой (inline-режим)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10"/>
        </w:numPr>
        <w:spacing w:after="240" w:lineRule="auto"/>
        <w:ind w:left="426" w:hanging="42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Аннотация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Настоящий документ содержит описание реализации программного обеспечения «TDS» версии 1.0 (далее – ПО).</w:t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10"/>
        </w:numPr>
        <w:spacing w:after="240" w:lineRule="auto"/>
        <w:ind w:left="426" w:hanging="42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Назначение ПО</w:t>
      </w:r>
    </w:p>
    <w:p w:rsidR="00000000" w:rsidDel="00000000" w:rsidP="00000000" w:rsidRDefault="00000000" w:rsidRPr="00000000" w14:paraId="00000015">
      <w:pPr>
        <w:spacing w:after="240" w:lineRule="auto"/>
        <w:ind w:firstLine="567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ПО - </w:t>
      </w:r>
      <w:r w:rsidDel="00000000" w:rsidR="00000000" w:rsidRPr="00000000">
        <w:rPr>
          <w:color w:val="222222"/>
          <w:highlight w:val="white"/>
          <w:rtl w:val="0"/>
        </w:rPr>
        <w:t xml:space="preserve">комплексное решение предназначено для выявления современных высокотехнологичных атак на ранней стадии, обеспечение процесса threat hunting, оптимизацию процессов реагирования на инциденты и их последующего расследования внутри корпоративной инфраструктуры. Оно определяет заражения, которые пропускают стандартные средства защиты: антивирусы, межсетевые экраны, системы предотвращения вторжений. Применение TDS существенно снижает риски организации, помогая вовремя выявить и предотвратить хищения, финансовые мошенничества, попытки шпионажа, утечку конфиденциальной информации и другие инциденты.</w:t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10"/>
        </w:numPr>
        <w:spacing w:after="240" w:lineRule="auto"/>
        <w:ind w:left="426" w:hanging="42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Программно-аппаратные среды функционирования ПО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425" w:right="0" w:firstLine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функционирует в следующих программно-аппаратных средах: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9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Аппаратные среды: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24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Сервера со следующими техническими требованиями: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2"/>
          <w:szCs w:val="22"/>
          <w:u w:val="none"/>
          <w:shd w:fill="auto" w:val="clear"/>
          <w:vertAlign w:val="baseline"/>
          <w:rtl w:val="0"/>
        </w:rPr>
        <w:t xml:space="preserve">Таблица 1 Технические требования для TDS Сенсор</w:t>
      </w:r>
    </w:p>
    <w:tbl>
      <w:tblPr>
        <w:tblStyle w:val="Table1"/>
        <w:tblW w:w="9339.0" w:type="dxa"/>
        <w:jc w:val="left"/>
        <w:tblInd w:w="0.0" w:type="dxa"/>
        <w:tblLayout w:type="fixed"/>
        <w:tblLook w:val="0400"/>
      </w:tblPr>
      <w:tblGrid>
        <w:gridCol w:w="2369"/>
        <w:gridCol w:w="1653"/>
        <w:gridCol w:w="1779"/>
        <w:gridCol w:w="1815"/>
        <w:gridCol w:w="1723"/>
        <w:tblGridChange w:id="0">
          <w:tblGrid>
            <w:gridCol w:w="2369"/>
            <w:gridCol w:w="1653"/>
            <w:gridCol w:w="1779"/>
            <w:gridCol w:w="1815"/>
            <w:gridCol w:w="17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TDS Сенсор (нагрузка Mbps)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250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1000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5000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20000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CPU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3,9 GHz, 4 C, 8 MB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3,9 GHz, 4 C, 8 MB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2.4 GHz, 14 C, 35 MB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2.4 GHz, 14 C, 35 MB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5">
            <w:pPr>
              <w:shd w:fill="f4f5f7" w:val="clear"/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RAM, GB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32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32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64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HDD, GB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2 х 480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2 х 1200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2 х 1200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2 х 1200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Network</w:t>
            </w:r>
          </w:p>
        </w:tc>
        <w:tc>
          <w:tcPr>
            <w:gridSpan w:val="4"/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mgmt Ethernet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Span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до 4 Ethernet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до 4 Ethernet or SFP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до 4 SFP/SFP+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до 4 SFP+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164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240" w:before="0" w:line="276" w:lineRule="auto"/>
        <w:ind w:left="164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2"/>
          <w:szCs w:val="22"/>
          <w:u w:val="none"/>
          <w:shd w:fill="auto" w:val="clear"/>
          <w:vertAlign w:val="baseline"/>
          <w:rtl w:val="0"/>
        </w:rPr>
        <w:t xml:space="preserve">Таблица 2 Технические требования для TDS HuntBox</w:t>
      </w:r>
    </w:p>
    <w:tbl>
      <w:tblPr>
        <w:tblStyle w:val="Table2"/>
        <w:tblW w:w="8000.0" w:type="dxa"/>
        <w:jc w:val="left"/>
        <w:tblInd w:w="0.0" w:type="dxa"/>
        <w:tblLayout w:type="fixed"/>
        <w:tblLook w:val="0400"/>
      </w:tblPr>
      <w:tblGrid>
        <w:gridCol w:w="1684"/>
        <w:gridCol w:w="2171"/>
        <w:gridCol w:w="2171"/>
        <w:gridCol w:w="1974"/>
        <w:tblGridChange w:id="0">
          <w:tblGrid>
            <w:gridCol w:w="1684"/>
            <w:gridCol w:w="2171"/>
            <w:gridCol w:w="2171"/>
            <w:gridCol w:w="19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TDS HuntBox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222222"/>
                <w:shd w:fill="eaecf0" w:val="clear"/>
                <w:rtl w:val="0"/>
              </w:rPr>
              <w:t xml:space="preserve">Enterprise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222222"/>
                <w:shd w:fill="eaecf0" w:val="clear"/>
                <w:rtl w:val="0"/>
              </w:rPr>
              <w:t xml:space="preserve">Performance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b w:val="1"/>
                <w:color w:val="222222"/>
                <w:shd w:fill="eaecf0" w:val="clear"/>
              </w:rPr>
            </w:pPr>
            <w:r w:rsidDel="00000000" w:rsidR="00000000" w:rsidRPr="00000000">
              <w:rPr>
                <w:b w:val="1"/>
                <w:color w:val="172b4d"/>
                <w:highlight w:val="white"/>
                <w:rtl w:val="0"/>
              </w:rPr>
              <w:t xml:space="preserve">Storage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CPU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2.4 GHz, 14 C, 35 MB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2.4 GHz, 28 C, 35 MB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2.4 GHz, 14 C, 35 MB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9">
            <w:pPr>
              <w:shd w:fill="f4f5f7" w:val="clear"/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RAM, GB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96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128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64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HDD, GB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4 х 1200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4 х 1200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2 x 1200 HDD +</w:t>
              <w:br w:type="textWrapping"/>
              <w:t xml:space="preserve">2 x 960 SSD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Network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mgmt Ethernet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 или более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 или более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 или более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240" w:before="0" w:line="276" w:lineRule="auto"/>
        <w:ind w:left="164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2"/>
          <w:szCs w:val="22"/>
          <w:u w:val="none"/>
          <w:shd w:fill="auto" w:val="clear"/>
          <w:vertAlign w:val="baseline"/>
          <w:rtl w:val="0"/>
        </w:rPr>
        <w:t xml:space="preserve">Таблица 3 Технические требования для TDS Endpoint</w:t>
      </w:r>
    </w:p>
    <w:tbl>
      <w:tblPr>
        <w:tblStyle w:val="Table3"/>
        <w:tblW w:w="9648.0" w:type="dxa"/>
        <w:jc w:val="left"/>
        <w:tblInd w:w="0.0" w:type="dxa"/>
        <w:tblLayout w:type="fixed"/>
        <w:tblLook w:val="0400"/>
      </w:tblPr>
      <w:tblGrid>
        <w:gridCol w:w="2141"/>
        <w:gridCol w:w="2709"/>
        <w:gridCol w:w="2696"/>
        <w:gridCol w:w="2102"/>
        <w:tblGridChange w:id="0">
          <w:tblGrid>
            <w:gridCol w:w="2141"/>
            <w:gridCol w:w="2709"/>
            <w:gridCol w:w="2696"/>
            <w:gridCol w:w="21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Операционная система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222222"/>
                <w:shd w:fill="eaecf0" w:val="clear"/>
                <w:rtl w:val="0"/>
              </w:rPr>
              <w:t xml:space="preserve">Windows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222222"/>
                <w:shd w:fill="eaecf0" w:val="clear"/>
                <w:rtl w:val="0"/>
              </w:rPr>
              <w:t xml:space="preserve">Windows 8/8.1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b w:val="1"/>
                <w:color w:val="222222"/>
                <w:shd w:fill="eaecf0" w:val="clear"/>
              </w:rPr>
            </w:pPr>
            <w:r w:rsidDel="00000000" w:rsidR="00000000" w:rsidRPr="00000000">
              <w:rPr>
                <w:b w:val="1"/>
                <w:color w:val="172b4d"/>
                <w:highlight w:val="white"/>
                <w:rtl w:val="0"/>
              </w:rPr>
              <w:t xml:space="preserve">Windows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CPU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Не ниже Inter core i3 второго поколения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Не ниже Intel core i3 второго поколения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Не ниже Intel core i3 второго поколения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61">
            <w:pPr>
              <w:shd w:fill="f4f5f7" w:val="clear"/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RAM, GB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4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4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HDD, MB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100 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100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Network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b w:val="1"/>
                <w:color w:val="172b4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Связь с TDS HuntBox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  <w:tcMar>
              <w:top w:w="105.0" w:type="dxa"/>
              <w:left w:w="150.0" w:type="dxa"/>
              <w:bottom w:w="105.0" w:type="dxa"/>
              <w:right w:w="15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Связь с TDS HuntBox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color w:val="172b4d"/>
              </w:rPr>
            </w:pPr>
            <w:r w:rsidDel="00000000" w:rsidR="00000000" w:rsidRPr="00000000">
              <w:rPr>
                <w:color w:val="172b4d"/>
                <w:rtl w:val="0"/>
              </w:rPr>
              <w:t xml:space="preserve">Связь с TDS HuntBox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164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9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Виртуальные среды: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Hyper-V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Vmware Esxi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Qemu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Xen-server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92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Использование браузеров для доступа к системе: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Windows Internet Explorer версии 8.0 и выше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Google Chrome версии 4.0 и выше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Mozilla Firefox версии 3.5 и выше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Apple Safari версии 4.0 и выше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 версии 10.5 и выше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iOS Safari версии 3.2 и выше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 Mobile версии 11.0 и выше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Google Chrome for Android версии 11.0 и выше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Mozilla Firefox for Android версии 26.0 и выше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200" w:before="0" w:line="276" w:lineRule="auto"/>
        <w:ind w:left="164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Windows Internet Explorer Mobile версии 10.0 и выше</w:t>
      </w:r>
    </w:p>
    <w:p w:rsidR="00000000" w:rsidDel="00000000" w:rsidP="00000000" w:rsidRDefault="00000000" w:rsidRPr="00000000" w14:paraId="00000080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В браузере устройства пользователя должно быть включено исполнение скриптов JavaScript.</w:t>
      </w:r>
    </w:p>
    <w:p w:rsidR="00000000" w:rsidDel="00000000" w:rsidP="00000000" w:rsidRDefault="00000000" w:rsidRPr="00000000" w14:paraId="00000081">
      <w:pPr>
        <w:jc w:val="both"/>
        <w:rPr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numPr>
          <w:ilvl w:val="0"/>
          <w:numId w:val="10"/>
        </w:numPr>
        <w:spacing w:after="240" w:lineRule="auto"/>
        <w:ind w:left="426" w:hanging="42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Общие принципы функционирования ПО</w:t>
      </w:r>
    </w:p>
    <w:p w:rsidR="00000000" w:rsidDel="00000000" w:rsidP="00000000" w:rsidRDefault="00000000" w:rsidRPr="00000000" w14:paraId="00000083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На рисунке 1 изображены общие принципы функционирования ПО.</w:t>
      </w:r>
    </w:p>
    <w:p w:rsidR="00000000" w:rsidDel="00000000" w:rsidP="00000000" w:rsidRDefault="00000000" w:rsidRPr="00000000" w14:paraId="00000084">
      <w:pPr>
        <w:keepNext w:val="1"/>
        <w:jc w:val="both"/>
        <w:rPr/>
      </w:pPr>
      <w:r w:rsidDel="00000000" w:rsidR="00000000" w:rsidRPr="00000000">
        <w:rPr/>
        <w:drawing>
          <wp:inline distB="0" distT="0" distL="0" distR="0">
            <wp:extent cx="5479415" cy="3833495"/>
            <wp:effectExtent b="0" l="0" r="0" t="0"/>
            <wp:docPr descr="C:\Users\mikityuk\Documents\Фнкциональная схема.jpg" id="9" name="image4.jpg"/>
            <a:graphic>
              <a:graphicData uri="http://schemas.openxmlformats.org/drawingml/2006/picture">
                <pic:pic>
                  <pic:nvPicPr>
                    <pic:cNvPr descr="C:\Users\mikityuk\Documents\Фнкциональная схема.jpg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833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2"/>
          <w:szCs w:val="22"/>
          <w:u w:val="none"/>
          <w:shd w:fill="auto" w:val="clear"/>
          <w:vertAlign w:val="baseline"/>
          <w:rtl w:val="0"/>
        </w:rPr>
        <w:t xml:space="preserve">Рисунок 1. Общие принципы функционирования ПО.</w:t>
      </w:r>
    </w:p>
    <w:p w:rsidR="00000000" w:rsidDel="00000000" w:rsidP="00000000" w:rsidRDefault="00000000" w:rsidRPr="00000000" w14:paraId="00000086">
      <w:pPr>
        <w:spacing w:after="0" w:lineRule="auto"/>
        <w:ind w:firstLine="567"/>
        <w:jc w:val="both"/>
        <w:rPr/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tl w:val="0"/>
        </w:rPr>
        <w:t xml:space="preserve">TDS HuntBox - система анализа, корреляции, принятия решений и управления всеми компонентами комплекса. </w:t>
      </w:r>
    </w:p>
    <w:p w:rsidR="00000000" w:rsidDel="00000000" w:rsidP="00000000" w:rsidRDefault="00000000" w:rsidRPr="00000000" w14:paraId="00000087">
      <w:pPr>
        <w:spacing w:after="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TDS Sensor (Cенсор) - сенсор анализа данных, подключаемый к копии сетевого трафика защищаемой организации. Является так же модулем почтовой интеграции для проведения анализа почтовых сообщений совместно с TDS Polygon</w:t>
      </w:r>
    </w:p>
    <w:p w:rsidR="00000000" w:rsidDel="00000000" w:rsidP="00000000" w:rsidRDefault="00000000" w:rsidRPr="00000000" w14:paraId="00000088">
      <w:pPr>
        <w:spacing w:after="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TDS Polygong (песочница) - модуль поведенческого анализа файлов, получаемых из почты, целевых хостов (с помощью TDS Endpoint), файловых хранилищ, ICAP клиентов. Позволяет детектировать неизвестные ранее угрозы и продвинутые целевые атаки.</w:t>
      </w:r>
    </w:p>
    <w:p w:rsidR="00000000" w:rsidDel="00000000" w:rsidP="00000000" w:rsidRDefault="00000000" w:rsidRPr="00000000" w14:paraId="00000089">
      <w:pPr>
        <w:spacing w:after="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TDS Endpoint – программное обеспечение для сбора данных о поведении пользователя и программ, обеспечивающее фиксацию полной хронологии событий на системе, блокировку аномального поведения, изоляцию хоста, отправку данных в удаленное хранилище для последующего анализа.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ПО - это комплексное решение, направленное на повышение качества обнаружения новых и неизвестных угроз, атак без использования вредоносных программ, обеспечение процесса threat hunting, оптимизацию процессов реагирования на инциденты и их последующего расследования именно внутри корпоративной инфраструктуры.</w:t>
      </w:r>
    </w:p>
    <w:p w:rsidR="00000000" w:rsidDel="00000000" w:rsidP="00000000" w:rsidRDefault="00000000" w:rsidRPr="00000000" w14:paraId="0000008B">
      <w:pPr>
        <w:spacing w:after="160" w:line="259" w:lineRule="auto"/>
        <w:rPr>
          <w:b w:val="1"/>
          <w:color w:val="2e75b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1"/>
        <w:numPr>
          <w:ilvl w:val="0"/>
          <w:numId w:val="10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Реализация ПО </w:t>
      </w:r>
    </w:p>
    <w:p w:rsidR="00000000" w:rsidDel="00000000" w:rsidP="00000000" w:rsidRDefault="00000000" w:rsidRPr="00000000" w14:paraId="0000008D">
      <w:pPr>
        <w:shd w:fill="ffffff" w:val="clear"/>
        <w:spacing w:after="120" w:before="120" w:line="24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Архитектурно решение состоит из следующих модулей: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" w:before="280" w:line="240" w:lineRule="auto"/>
        <w:ind w:left="7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TDS Sensor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120" w:before="120" w:lin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Сенсор предназначен для анализа входящих и исходящих пакетов данных. Он позволяет выявить взаимодействие зараженных устройств с командными центрами злоумышленников, общие сетевые аномалии и необычное поведение устройств. Для работы сенсор использует собственные сигнатуры и поведенческие правила.</w:t>
      </w:r>
    </w:p>
    <w:p w:rsidR="00000000" w:rsidDel="00000000" w:rsidP="00000000" w:rsidRDefault="00000000" w:rsidRPr="00000000" w14:paraId="00000090">
      <w:pPr>
        <w:shd w:fill="ffffff" w:val="clear"/>
        <w:spacing w:after="120" w:before="120" w:line="24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Особенности системы: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hd w:fill="ffffff" w:val="clear"/>
        <w:spacing w:after="24" w:before="28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Постоянно обновляемые базы – информация из киберразведки и системы криминалистики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Единый интерфейс с тикет-системой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Интеграция с почтой/icap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Анализ трафика до 20 Gb/s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Возможность виртуальной установки/HW Appliance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Интеграция с SIEM и другими системами</w:t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" w:before="280" w:line="240" w:lineRule="auto"/>
        <w:ind w:left="7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TDS Polygon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120" w:before="120" w:lin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Данная система предназначена для поведенческого анализа подозрительных объектов в безопасной среде. Полученные по электронной почте или скачанные из интернета файлы проверяются до попадания на компьютеры пользователей. Применение технологий машинного обучения позволяет выявить ранее неизвестные вредоносные программы без использования сигнатур, а также блокировать их доставку пользователям.</w:t>
      </w:r>
    </w:p>
    <w:p w:rsidR="00000000" w:rsidDel="00000000" w:rsidP="00000000" w:rsidRDefault="00000000" w:rsidRPr="00000000" w14:paraId="0000009B">
      <w:pPr>
        <w:shd w:fill="ffffff" w:val="clear"/>
        <w:spacing w:after="120" w:before="120" w:line="24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Особенности системы: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shd w:fill="ffffff" w:val="clear"/>
        <w:spacing w:after="24" w:before="28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Запатентованная технология обнаружения обхода песочницы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Эмуляция действий пользователей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Специально подготовленные образы для обнаружения 0-Day уязвимостей и различного вида ВПО (вредоносного программного обеспечения).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Анализ файлов с измененными расширениями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Запатентованный низкоуровневый монитор, выявляющий все возможные действия в том числе и выполнение кода на уровне CPU.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Дешифровка запароленных архивов с паролем в теле письма/вложенном файле/по словарю.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Ретроспективный анализ</w:t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" w:before="280" w:line="240" w:lineRule="auto"/>
        <w:ind w:left="7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Центр управления, мониторинга, хранения событий и обновления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spacing w:after="120" w:before="120" w:lin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Специалисты Центра управления мониторинга Group-IB (TDS-SOC) отслеживают и анализируют события, выявленные TDS Sensor и TDS Polygon. Эксперты TDS-SOC немедленно уведомляют специалистов организации о критичных угрозах по электронной почте и телефону, а также дают рекомендации по их устранению. Поддержка работает круглосуточно, 365 дней в году. По умолчанию используется TDS-SOC Group-IB. Центр Управления также может быть развернут внутри сети заказчика в виде TDS HuntBox.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shd w:fill="ffffff" w:val="clear"/>
        <w:spacing w:after="24" w:before="28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TDS HuntBox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after="120" w:before="120" w:lin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Центр управления, мониторинга, хранения событий и обновлений, устанавливаемый внутри инфраструктуры заказчика. Huntbox интегрируется с другими компонентами комплекса TDS (Sensor, Polygon, Endpoint ) и значительно расширяет функционал решения за счет новых возможностей:</w:t>
      </w:r>
    </w:p>
    <w:p w:rsidR="00000000" w:rsidDel="00000000" w:rsidP="00000000" w:rsidRDefault="00000000" w:rsidRPr="00000000" w14:paraId="000000A8">
      <w:pPr>
        <w:shd w:fill="ffffff" w:val="clear"/>
        <w:spacing w:after="120" w:before="120" w:line="24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Особенности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shd w:fill="ffffff" w:val="clear"/>
        <w:spacing w:after="24" w:before="28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Оркестрация всех компонентов TDS и управлением ими из единого интерфейса</w:t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Анализ больших данных, выявление новых инструментов и инфраструктуры атакующих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Хранение логов и аналитической информации по инцидентам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Визуализация инцидента на ранней стадии атаки  </w:t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Удаленное реагирование на конечных станциях  </w:t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Внутренний Threat Hunting по логам  </w:t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Сбор криминалистических данных для расследования инцидентов </w:t>
      </w:r>
    </w:p>
    <w:p w:rsidR="00000000" w:rsidDel="00000000" w:rsidP="00000000" w:rsidRDefault="00000000" w:rsidRPr="00000000" w14:paraId="000000B0">
      <w:pPr>
        <w:shd w:fill="ffffff" w:val="clear"/>
        <w:spacing w:after="120" w:before="120" w:lin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shd w:fill="ffffff" w:val="clear"/>
        <w:spacing w:after="24" w:before="28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Гибкая схема установки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1"/>
          <w:numId w:val="3"/>
        </w:numPr>
        <w:shd w:fill="ffffff" w:val="clear"/>
        <w:spacing w:after="24" w:before="0" w:line="240" w:lineRule="auto"/>
        <w:ind w:left="768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On-Premise / Cloud / Hybrid</w:t>
      </w:r>
    </w:p>
    <w:p w:rsidR="00000000" w:rsidDel="00000000" w:rsidP="00000000" w:rsidRDefault="00000000" w:rsidRPr="00000000" w14:paraId="000000B3">
      <w:pPr>
        <w:numPr>
          <w:ilvl w:val="1"/>
          <w:numId w:val="3"/>
        </w:numPr>
        <w:shd w:fill="ffffff" w:val="clear"/>
        <w:spacing w:after="24" w:before="0" w:line="240" w:lineRule="auto"/>
        <w:ind w:left="768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Различные способы взаимодействия с инфраструктурой Group-IB (см. руководство администратора «Обновления и потоки данных»)</w:t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Интеграция с сетевым трафиком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Система обеспечивает анализ трафика, подаваемого на оборудование TDS Sensor из разных источников:</w:t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shd w:fill="ffffff" w:val="clear"/>
        <w:spacing w:after="24" w:before="28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SPAN/RSPAN трафик</w:t>
      </w:r>
    </w:p>
    <w:p w:rsidR="00000000" w:rsidDel="00000000" w:rsidP="00000000" w:rsidRDefault="00000000" w:rsidRPr="00000000" w14:paraId="000000B8">
      <w:pPr>
        <w:numPr>
          <w:ilvl w:val="0"/>
          <w:numId w:val="5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SPAN/RSPAN траффик в GRE-туннеле</w:t>
      </w:r>
    </w:p>
    <w:p w:rsidR="00000000" w:rsidDel="00000000" w:rsidP="00000000" w:rsidRDefault="00000000" w:rsidRPr="00000000" w14:paraId="000000B9">
      <w:pPr>
        <w:numPr>
          <w:ilvl w:val="0"/>
          <w:numId w:val="5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ICAP (файлы из трафика)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При интеграции по ICAP возможно настроить режим блокировки - вредоносные вложения не будут доступны для загрузки пользователям.</w:t>
      </w:r>
    </w:p>
    <w:p w:rsidR="00000000" w:rsidDel="00000000" w:rsidP="00000000" w:rsidRDefault="00000000" w:rsidRPr="00000000" w14:paraId="000000BB">
      <w:pPr>
        <w:pStyle w:val="Heading2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Интеграция с почтовой системой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Поддерживаются несколько различных способов получения писем для поведенческого анализа:</w:t>
      </w:r>
    </w:p>
    <w:p w:rsidR="00000000" w:rsidDel="00000000" w:rsidP="00000000" w:rsidRDefault="00000000" w:rsidRPr="00000000" w14:paraId="000000BD">
      <w:pPr>
        <w:numPr>
          <w:ilvl w:val="0"/>
          <w:numId w:val="7"/>
        </w:numPr>
        <w:shd w:fill="ffffff" w:val="clear"/>
        <w:spacing w:after="24" w:before="28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Получение писем по SMTP</w:t>
      </w:r>
    </w:p>
    <w:p w:rsidR="00000000" w:rsidDel="00000000" w:rsidP="00000000" w:rsidRDefault="00000000" w:rsidRPr="00000000" w14:paraId="000000BE">
      <w:pPr>
        <w:numPr>
          <w:ilvl w:val="0"/>
          <w:numId w:val="7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Получение писем с помощью механизма скрытой копии (BCC) через POP3/IMAP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Поддерживается возможность блокировки вредоносных писем посредством интеграции TDS Sensor в режиме MTA (Mail Transfer Agent). Внутренний MTA режим обеспечивает возможность настройки почтовой инфраструктуры любой сложности - с любым количеством почтовых серверов и настройкой различных правил пересылки. При этом обеспечивается отказоустойчивость и балансировка нагрузки.</w:t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2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Типовые схемы подключения</w:t>
      </w:r>
    </w:p>
    <w:p w:rsidR="00000000" w:rsidDel="00000000" w:rsidP="00000000" w:rsidRDefault="00000000" w:rsidRPr="00000000" w14:paraId="000000C2">
      <w:pPr>
        <w:pStyle w:val="Heading3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Режим анализа копии трафика и файлов из трафика</w:t>
      </w:r>
    </w:p>
    <w:p w:rsidR="00000000" w:rsidDel="00000000" w:rsidP="00000000" w:rsidRDefault="00000000" w:rsidRPr="00000000" w14:paraId="000000C3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0b0080"/>
        </w:rPr>
        <w:drawing>
          <wp:inline distB="0" distT="0" distL="0" distR="0">
            <wp:extent cx="5715000" cy="4629150"/>
            <wp:effectExtent b="0" l="0" r="0" t="0"/>
            <wp:docPr descr="https://tdswiki.group-ib.ru/images/thumb/0/0b/Span.png/600px-Span.png" id="11" name="image7.png"/>
            <a:graphic>
              <a:graphicData uri="http://schemas.openxmlformats.org/drawingml/2006/picture">
                <pic:pic>
                  <pic:nvPicPr>
                    <pic:cNvPr descr="https://tdswiki.group-ib.ru/images/thumb/0/0b/Span.png/600px-Span.png"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62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Анализ копии трафика. Работа через TDS SOC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В этом режиме TDS Polygon осуществляет пассивный мониторинг файлов из трафика. Объекты анализа поступают от TDS Sensor и отправляются в облако TDS Polygon Cloud.</w:t>
      </w:r>
    </w:p>
    <w:p w:rsidR="00000000" w:rsidDel="00000000" w:rsidP="00000000" w:rsidRDefault="00000000" w:rsidRPr="00000000" w14:paraId="000000C6">
      <w:pPr>
        <w:pStyle w:val="Heading3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Режим анализа копии трафика и файлов из трафика в GRE туннеле</w:t>
      </w:r>
    </w:p>
    <w:p w:rsidR="00000000" w:rsidDel="00000000" w:rsidP="00000000" w:rsidRDefault="00000000" w:rsidRPr="00000000" w14:paraId="000000C7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0b0080"/>
        </w:rPr>
        <w:drawing>
          <wp:inline distB="0" distT="0" distL="0" distR="0">
            <wp:extent cx="5715000" cy="3829050"/>
            <wp:effectExtent b="0" l="0" r="0" t="0"/>
            <wp:docPr descr="https://tdswiki.group-ib.ru/images/thumb/9/95/SPANinGRE.png/600px-SPANinGRE.png" id="10" name="image2.png"/>
            <a:graphic>
              <a:graphicData uri="http://schemas.openxmlformats.org/drawingml/2006/picture">
                <pic:pic>
                  <pic:nvPicPr>
                    <pic:cNvPr descr="https://tdswiki.group-ib.ru/images/thumb/9/95/SPANinGRE.png/600px-SPANinGRE.png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2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Анализ копии трафика в GRE. Работа через TDS SOC</w:t>
      </w:r>
    </w:p>
    <w:p w:rsidR="00000000" w:rsidDel="00000000" w:rsidP="00000000" w:rsidRDefault="00000000" w:rsidRPr="00000000" w14:paraId="000000C9">
      <w:pPr>
        <w:shd w:fill="f8f9fa" w:val="clear"/>
        <w:spacing w:line="240" w:lineRule="auto"/>
        <w:jc w:val="both"/>
        <w:rPr>
          <w:color w:val="222222"/>
        </w:rPr>
      </w:pPr>
      <w:r w:rsidDel="00000000" w:rsidR="00000000" w:rsidRPr="00000000">
        <w:rPr>
          <w:color w:val="0b0080"/>
        </w:rPr>
        <w:drawing>
          <wp:inline distB="0" distT="0" distL="0" distR="0">
            <wp:extent cx="5715000" cy="3200400"/>
            <wp:effectExtent b="0" l="0" r="0" t="0"/>
            <wp:docPr descr="https://tdswiki.group-ib.ru/images/thumb/b/be/ERSPAN_with_HuntBox.png/600px-ERSPAN_with_HuntBox.png" id="13" name="image6.png"/>
            <a:graphic>
              <a:graphicData uri="http://schemas.openxmlformats.org/drawingml/2006/picture">
                <pic:pic>
                  <pic:nvPicPr>
                    <pic:cNvPr descr="https://tdswiki.group-ib.ru/images/thumb/b/be/ERSPAN_with_HuntBox.png/600px-ERSPAN_with_HuntBox.png"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Анализ копии трафика в GRE. Работа через TDS HuntBox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TDS Sensor поддерживает возможность организовывать GRE-туннели. Когда нет возможности напрямую подать SPAN/RSPAN, поскольку между сенсором и зеркалирующим оборудованием находится L3 оборудование, либо необходимо получить трафик с фермы виртуальных машин, можно использовать GRE-инкапсуляцию, для передачи SPAN трафика в TDS.</w:t>
      </w:r>
    </w:p>
    <w:p w:rsidR="00000000" w:rsidDel="00000000" w:rsidP="00000000" w:rsidRDefault="00000000" w:rsidRPr="00000000" w14:paraId="000000CC">
      <w:pPr>
        <w:pStyle w:val="Heading2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Режим анализа почты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Поддерживаются несколько различных способов получения писем для поведенческого анализа:</w:t>
      </w:r>
    </w:p>
    <w:p w:rsidR="00000000" w:rsidDel="00000000" w:rsidP="00000000" w:rsidRDefault="00000000" w:rsidRPr="00000000" w14:paraId="000000CE">
      <w:pPr>
        <w:numPr>
          <w:ilvl w:val="0"/>
          <w:numId w:val="8"/>
        </w:numPr>
        <w:shd w:fill="ffffff" w:val="clear"/>
        <w:spacing w:after="24" w:before="28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Получение писем по SMTP.</w:t>
      </w:r>
    </w:p>
    <w:p w:rsidR="00000000" w:rsidDel="00000000" w:rsidP="00000000" w:rsidRDefault="00000000" w:rsidRPr="00000000" w14:paraId="000000CF">
      <w:pPr>
        <w:numPr>
          <w:ilvl w:val="0"/>
          <w:numId w:val="8"/>
        </w:numPr>
        <w:shd w:fill="ffffff" w:val="clear"/>
        <w:spacing w:after="24" w:before="0" w:line="240" w:lineRule="auto"/>
        <w:ind w:left="384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Получение писем с помощью механизма скрытой копии (BCC)</w:t>
      </w:r>
    </w:p>
    <w:p w:rsidR="00000000" w:rsidDel="00000000" w:rsidP="00000000" w:rsidRDefault="00000000" w:rsidRPr="00000000" w14:paraId="000000D0">
      <w:pPr>
        <w:pStyle w:val="Heading3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Получение писем по SMTP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При данной интеграции TDS Sensor выступает как MTA (или SMTP Relay), получаю копию всей входящей почты через SMTP. Единственное отличие этого режима, от режима с блокировкой, что письма тут не пересылаются дальше, а просто анализируются.</w:t>
      </w:r>
    </w:p>
    <w:p w:rsidR="00000000" w:rsidDel="00000000" w:rsidP="00000000" w:rsidRDefault="00000000" w:rsidRPr="00000000" w14:paraId="000000D2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0b0080"/>
        </w:rPr>
        <w:drawing>
          <wp:inline distB="0" distT="0" distL="0" distR="0">
            <wp:extent cx="5715000" cy="6718300"/>
            <wp:effectExtent b="0" l="0" r="0" t="0"/>
            <wp:docPr descr="https://tdswiki.group-ib.ru/images/thumb/4/49/SMTP-copy.jpg/600px-SMTP-copy.jpg" id="12" name="image8.jpg"/>
            <a:graphic>
              <a:graphicData uri="http://schemas.openxmlformats.org/drawingml/2006/picture">
                <pic:pic>
                  <pic:nvPicPr>
                    <pic:cNvPr descr="https://tdswiki.group-ib.ru/images/thumb/4/49/SMTP-copy.jpg/600px-SMTP-copy.jpg" id="0" name="image8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71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анализ SMTP копии. Работа через TDS SOC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Схема 3: TDS Sensor + TDS Polygon — анализ копии трафика, копии почты и файлов из канала связи.</w:t>
      </w:r>
    </w:p>
    <w:p w:rsidR="00000000" w:rsidDel="00000000" w:rsidP="00000000" w:rsidRDefault="00000000" w:rsidRPr="00000000" w14:paraId="000000D5">
      <w:pPr>
        <w:pStyle w:val="Heading3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Получение писем с помощью механизма скрытой копии (BCC)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При данной интеграции создаётся дополнительный почтовый ящик, куда осуществляется копирование всей входящей почты. TDS Sensor подключается к подготовленному ящику и забирает письма для анализа.</w:t>
      </w:r>
    </w:p>
    <w:p w:rsidR="00000000" w:rsidDel="00000000" w:rsidP="00000000" w:rsidRDefault="00000000" w:rsidRPr="00000000" w14:paraId="000000D7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0b0080"/>
        </w:rPr>
        <w:drawing>
          <wp:inline distB="0" distT="0" distL="0" distR="0">
            <wp:extent cx="5715000" cy="6718300"/>
            <wp:effectExtent b="0" l="0" r="0" t="0"/>
            <wp:docPr descr="https://tdswiki.group-ib.ru/images/thumb/1/11/Photo_2018-03-21_13-25-07.png/600px-Photo_2018-03-21_13-25-07.png" id="15" name="image5.png"/>
            <a:graphic>
              <a:graphicData uri="http://schemas.openxmlformats.org/drawingml/2006/picture">
                <pic:pic>
                  <pic:nvPicPr>
                    <pic:cNvPr descr="https://tdswiki.group-ib.ru/images/thumb/1/11/Photo_2018-03-21_13-25-07.png/600px-Photo_2018-03-21_13-25-07.png"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71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Анализ BCC. Работа через TDS SOC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Схема 2: TDS Sensor + TDS Polygon — анализ копии трафика, копии почты и файлов из канала связи.</w:t>
      </w:r>
    </w:p>
    <w:p w:rsidR="00000000" w:rsidDel="00000000" w:rsidP="00000000" w:rsidRDefault="00000000" w:rsidRPr="00000000" w14:paraId="000000DA">
      <w:pPr>
        <w:pStyle w:val="Heading3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br w:type="textWrapping"/>
        <w:t xml:space="preserve">Получение писем по SMTP с блокировкой (inline-режим)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Основной режим интеграции с почтой, когда почта проходит через TDS Sensor как через SMTP Relay, и доставляется дальше после анализа. Соответственно вредоносные письма блокируются. Отказоустойчивость обеспечивается либо на уровне DNS, либо на уровне SMTP-сервера, где настраивается несколько релеев, либо на уровне VRRP, когда несколько устройств делят виртуальный IP адрес.</w:t>
      </w:r>
    </w:p>
    <w:p w:rsidR="00000000" w:rsidDel="00000000" w:rsidP="00000000" w:rsidRDefault="00000000" w:rsidRPr="00000000" w14:paraId="000000DC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0b0080"/>
        </w:rPr>
        <w:drawing>
          <wp:inline distB="0" distT="0" distL="0" distR="0">
            <wp:extent cx="5715000" cy="7296150"/>
            <wp:effectExtent b="0" l="0" r="0" t="0"/>
            <wp:docPr descr="https://tdswiki.group-ib.ru/images/thumb/d/d7/Inline.png/600px-Inline.png" id="14" name="image3.png"/>
            <a:graphic>
              <a:graphicData uri="http://schemas.openxmlformats.org/drawingml/2006/picture">
                <pic:pic>
                  <pic:nvPicPr>
                    <pic:cNvPr descr="https://tdswiki.group-ib.ru/images/thumb/d/d7/Inline.png/600px-Inline.png"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29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Работа в MTA режиме через TDS SOC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Схема 4: TDS Sensor + TDS Polygon — анализ почты с блокировкой вредоносных объектов.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0b0080"/>
        </w:rPr>
        <w:drawing>
          <wp:inline distB="0" distT="0" distL="0" distR="0">
            <wp:extent cx="5715000" cy="3219450"/>
            <wp:effectExtent b="0" l="0" r="0" t="0"/>
            <wp:docPr descr="https://tdswiki.group-ib.ru/images/thumb/4/46/%D0%A1%D0%BB%D0%B0%D0%B9%D0%B4.JPG/600px-%D0%A1%D0%BB%D0%B0%D0%B9%D0%B4.JPG" id="16" name="image1.jpg"/>
            <a:graphic>
              <a:graphicData uri="http://schemas.openxmlformats.org/drawingml/2006/picture">
                <pic:pic>
                  <pic:nvPicPr>
                    <pic:cNvPr descr="https://tdswiki.group-ib.ru/images/thumb/4/46/%D0%A1%D0%BB%D0%B0%D0%B9%D0%B4.JPG/600px-%D0%A1%D0%BB%D0%B0%D0%B9%D0%B4.JPG"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f8f9fa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Анализ почты с блокировкой объектов и работой через TDS HuntBox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Все схемы выше могут реализованы, как с применением TDS HuntBox, так и без него работая напрямую через SOC Group-IB.</w:t>
      </w:r>
    </w:p>
    <w:p w:rsidR="00000000" w:rsidDel="00000000" w:rsidP="00000000" w:rsidRDefault="00000000" w:rsidRPr="00000000" w14:paraId="000000E3">
      <w:pPr>
        <w:pStyle w:val="Heading3"/>
        <w:shd w:fill="ffffff" w:val="clear"/>
        <w:spacing w:before="72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ikita Kislitsin" w:id="0" w:date="2022-08-19T11:34:20Z"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неазвания старые. Для общих названия типа TDS был дан дисклеймер что их надо читать: THF &gt; XDR, TDS &gt; XDR и это понятно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 по тому что такое TDS HuntBox и остальные дислеймеров не дано</w:t>
      </w:r>
    </w:p>
  </w:comment>
  <w:comment w:author="Nikita Kislitsin" w:id="1" w:date="2022-08-19T11:34:28Z"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Опечатка</w:t>
      </w:r>
    </w:p>
  </w:comment>
  <w:comment w:author="Nikita Kislitsin" w:id="2" w:date="2022-08-19T11:34:52Z"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Всегда писали Huntbox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E7" w15:done="0"/>
  <w15:commentEx w15:paraId="000000E8" w15:paraIdParent="000000E7" w15:done="0"/>
  <w15:commentEx w15:paraId="000000E9" w15:paraIdParent="000000E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decimal"/>
      <w:lvlText w:val="%1."/>
      <w:lvlJc w:val="left"/>
      <w:pPr>
        <w:ind w:left="744" w:hanging="359.99999999999994"/>
      </w:pPr>
      <w:rPr>
        <w:b w:val="1"/>
      </w:rPr>
    </w:lvl>
    <w:lvl w:ilvl="1">
      <w:start w:val="1"/>
      <w:numFmt w:val="lowerLetter"/>
      <w:lvlText w:val="%2."/>
      <w:lvlJc w:val="left"/>
      <w:pPr>
        <w:ind w:left="1464" w:hanging="360"/>
      </w:pPr>
      <w:rPr/>
    </w:lvl>
    <w:lvl w:ilvl="2">
      <w:start w:val="1"/>
      <w:numFmt w:val="lowerRoman"/>
      <w:lvlText w:val="%3."/>
      <w:lvlJc w:val="right"/>
      <w:pPr>
        <w:ind w:left="2184" w:hanging="180"/>
      </w:pPr>
      <w:rPr/>
    </w:lvl>
    <w:lvl w:ilvl="3">
      <w:start w:val="1"/>
      <w:numFmt w:val="decimal"/>
      <w:lvlText w:val="%4."/>
      <w:lvlJc w:val="left"/>
      <w:pPr>
        <w:ind w:left="2904" w:hanging="360"/>
      </w:pPr>
      <w:rPr/>
    </w:lvl>
    <w:lvl w:ilvl="4">
      <w:start w:val="1"/>
      <w:numFmt w:val="lowerLetter"/>
      <w:lvlText w:val="%5."/>
      <w:lvlJc w:val="left"/>
      <w:pPr>
        <w:ind w:left="3624" w:hanging="360"/>
      </w:pPr>
      <w:rPr/>
    </w:lvl>
    <w:lvl w:ilvl="5">
      <w:start w:val="1"/>
      <w:numFmt w:val="lowerRoman"/>
      <w:lvlText w:val="%6."/>
      <w:lvlJc w:val="right"/>
      <w:pPr>
        <w:ind w:left="4344" w:hanging="180"/>
      </w:pPr>
      <w:rPr/>
    </w:lvl>
    <w:lvl w:ilvl="6">
      <w:start w:val="1"/>
      <w:numFmt w:val="decimal"/>
      <w:lvlText w:val="%7."/>
      <w:lvlJc w:val="left"/>
      <w:pPr>
        <w:ind w:left="5064" w:hanging="360"/>
      </w:pPr>
      <w:rPr/>
    </w:lvl>
    <w:lvl w:ilvl="7">
      <w:start w:val="1"/>
      <w:numFmt w:val="lowerLetter"/>
      <w:lvlText w:val="%8."/>
      <w:lvlJc w:val="left"/>
      <w:pPr>
        <w:ind w:left="5784" w:hanging="360"/>
      </w:pPr>
      <w:rPr/>
    </w:lvl>
    <w:lvl w:ilvl="8">
      <w:start w:val="1"/>
      <w:numFmt w:val="lowerRoman"/>
      <w:lvlText w:val="%9."/>
      <w:lvlJc w:val="right"/>
      <w:pPr>
        <w:ind w:left="6504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925F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 w:val="1"/>
    <w:rsid w:val="008925F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DE401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DE401C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8925FF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character" w:styleId="a3">
    <w:name w:val="Strong"/>
    <w:basedOn w:val="a0"/>
    <w:uiPriority w:val="22"/>
    <w:qFormat w:val="1"/>
    <w:rsid w:val="008925FF"/>
    <w:rPr>
      <w:b w:val="1"/>
      <w:bCs w:val="1"/>
    </w:rPr>
  </w:style>
  <w:style w:type="paragraph" w:styleId="a4">
    <w:name w:val="List Paragraph"/>
    <w:basedOn w:val="a"/>
    <w:uiPriority w:val="34"/>
    <w:qFormat w:val="1"/>
    <w:rsid w:val="008925FF"/>
    <w:pPr>
      <w:ind w:left="720"/>
      <w:contextualSpacing w:val="1"/>
    </w:pPr>
  </w:style>
  <w:style w:type="paragraph" w:styleId="a5">
    <w:name w:val="caption"/>
    <w:basedOn w:val="a"/>
    <w:next w:val="a"/>
    <w:uiPriority w:val="35"/>
    <w:unhideWhenUsed w:val="1"/>
    <w:qFormat w:val="1"/>
    <w:rsid w:val="008925FF"/>
    <w:pPr>
      <w:spacing w:line="240" w:lineRule="auto"/>
    </w:pPr>
    <w:rPr>
      <w:b w:val="1"/>
      <w:bCs w:val="1"/>
      <w:color w:val="5b9bd5" w:themeColor="accent1"/>
      <w:sz w:val="18"/>
      <w:szCs w:val="18"/>
    </w:rPr>
  </w:style>
  <w:style w:type="paragraph" w:styleId="a6">
    <w:name w:val="Normal (Web)"/>
    <w:basedOn w:val="a"/>
    <w:uiPriority w:val="99"/>
    <w:semiHidden w:val="1"/>
    <w:unhideWhenUsed w:val="1"/>
    <w:rsid w:val="00DE40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 w:val="1"/>
    <w:rsid w:val="00DE401C"/>
    <w:rPr>
      <w:color w:val="0000ff"/>
      <w:u w:val="single"/>
    </w:rPr>
  </w:style>
  <w:style w:type="character" w:styleId="20" w:customStyle="1">
    <w:name w:val="Заголовок 2 Знак"/>
    <w:basedOn w:val="a0"/>
    <w:link w:val="2"/>
    <w:uiPriority w:val="9"/>
    <w:rsid w:val="00DE401C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mw-headline" w:customStyle="1">
    <w:name w:val="mw-headline"/>
    <w:basedOn w:val="a0"/>
    <w:rsid w:val="00DE401C"/>
  </w:style>
  <w:style w:type="character" w:styleId="mw-editsection" w:customStyle="1">
    <w:name w:val="mw-editsection"/>
    <w:basedOn w:val="a0"/>
    <w:rsid w:val="00DE401C"/>
  </w:style>
  <w:style w:type="character" w:styleId="mw-editsection-bracket" w:customStyle="1">
    <w:name w:val="mw-editsection-bracket"/>
    <w:basedOn w:val="a0"/>
    <w:rsid w:val="00DE401C"/>
  </w:style>
  <w:style w:type="character" w:styleId="30" w:customStyle="1">
    <w:name w:val="Заголовок 3 Знак"/>
    <w:basedOn w:val="a0"/>
    <w:link w:val="3"/>
    <w:uiPriority w:val="9"/>
    <w:rsid w:val="00DE401C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a8">
    <w:name w:val="TOC Heading"/>
    <w:basedOn w:val="1"/>
    <w:next w:val="a"/>
    <w:uiPriority w:val="39"/>
    <w:unhideWhenUsed w:val="1"/>
    <w:qFormat w:val="1"/>
    <w:rsid w:val="00F7440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 w:val="1"/>
    <w:uiPriority w:val="39"/>
    <w:unhideWhenUsed w:val="1"/>
    <w:rsid w:val="00F74401"/>
    <w:pPr>
      <w:spacing w:after="100"/>
    </w:pPr>
  </w:style>
  <w:style w:type="paragraph" w:styleId="21">
    <w:name w:val="toc 2"/>
    <w:basedOn w:val="a"/>
    <w:next w:val="a"/>
    <w:autoRedefine w:val="1"/>
    <w:uiPriority w:val="39"/>
    <w:unhideWhenUsed w:val="1"/>
    <w:rsid w:val="00F74401"/>
    <w:pPr>
      <w:spacing w:after="100"/>
      <w:ind w:left="220"/>
    </w:pPr>
  </w:style>
  <w:style w:type="paragraph" w:styleId="31">
    <w:name w:val="toc 3"/>
    <w:basedOn w:val="a"/>
    <w:next w:val="a"/>
    <w:autoRedefine w:val="1"/>
    <w:uiPriority w:val="39"/>
    <w:unhideWhenUsed w:val="1"/>
    <w:rsid w:val="00F74401"/>
    <w:pPr>
      <w:spacing w:after="100"/>
      <w:ind w:left="44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8.jp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4.jpg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6" Type="http://schemas.openxmlformats.org/officeDocument/2006/relationships/image" Target="media/image1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53LBzRBn4jtxxHwk+BY6poIiAg==">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2019-04-18T08:39:00Z</dcterms:created>
  <dc:creator>Egor Mikityuk</dc:creator>
</cp:coreProperties>
</file>